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0A" w:rsidRDefault="00D35E0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35E0A" w:rsidRDefault="00D35E0A">
      <w:pPr>
        <w:pStyle w:val="ConsPlusNormal"/>
        <w:jc w:val="both"/>
        <w:outlineLvl w:val="0"/>
      </w:pPr>
    </w:p>
    <w:p w:rsidR="00D35E0A" w:rsidRDefault="00D35E0A">
      <w:pPr>
        <w:pStyle w:val="ConsPlusTitle"/>
        <w:jc w:val="center"/>
      </w:pPr>
      <w:r>
        <w:t>ПРАВИТЕЛЬСТВО РОССИЙСКОЙ ФЕДЕРАЦИИ</w:t>
      </w:r>
    </w:p>
    <w:p w:rsidR="00D35E0A" w:rsidRDefault="00D35E0A">
      <w:pPr>
        <w:pStyle w:val="ConsPlusTitle"/>
        <w:jc w:val="center"/>
      </w:pPr>
    </w:p>
    <w:p w:rsidR="00D35E0A" w:rsidRDefault="00D35E0A">
      <w:pPr>
        <w:pStyle w:val="ConsPlusTitle"/>
        <w:jc w:val="center"/>
      </w:pPr>
      <w:r>
        <w:t>ПОСТАНОВЛЕНИЕ</w:t>
      </w:r>
    </w:p>
    <w:p w:rsidR="00D35E0A" w:rsidRDefault="00D35E0A">
      <w:pPr>
        <w:pStyle w:val="ConsPlusTitle"/>
        <w:jc w:val="center"/>
      </w:pPr>
      <w:r>
        <w:t>от 12 июля 2022 г. N 1238</w:t>
      </w:r>
    </w:p>
    <w:p w:rsidR="00D35E0A" w:rsidRDefault="00D35E0A">
      <w:pPr>
        <w:pStyle w:val="ConsPlusTitle"/>
        <w:jc w:val="center"/>
      </w:pPr>
    </w:p>
    <w:p w:rsidR="00D35E0A" w:rsidRDefault="00D35E0A">
      <w:pPr>
        <w:pStyle w:val="ConsPlusTitle"/>
        <w:jc w:val="center"/>
      </w:pPr>
      <w:r>
        <w:t>О РЕАЛИЗАЦИИ</w:t>
      </w:r>
    </w:p>
    <w:p w:rsidR="00D35E0A" w:rsidRDefault="00D35E0A">
      <w:pPr>
        <w:pStyle w:val="ConsPlusTitle"/>
        <w:jc w:val="center"/>
      </w:pPr>
      <w:r>
        <w:t>ПИЛОТНОГО ПРОЕКТА ПО УЧАСТИЮ БАНКОВ РЕСПУБЛИКИ БЕЛАРУСЬ</w:t>
      </w:r>
    </w:p>
    <w:p w:rsidR="00D35E0A" w:rsidRDefault="00D35E0A">
      <w:pPr>
        <w:pStyle w:val="ConsPlusTitle"/>
        <w:jc w:val="center"/>
      </w:pPr>
      <w:r>
        <w:t>В ЗАКУПКАХ ТОВАРОВ, РАБОТ, УСЛУГ ДЛЯ ОБЕСПЕЧЕНИЯ</w:t>
      </w:r>
    </w:p>
    <w:p w:rsidR="00D35E0A" w:rsidRDefault="00D35E0A">
      <w:pPr>
        <w:pStyle w:val="ConsPlusTitle"/>
        <w:jc w:val="center"/>
      </w:pPr>
      <w:r>
        <w:t>ГОСУДАРСТВЕННЫХ И МУНИЦИПАЛЬНЫХ НУЖД</w:t>
      </w:r>
    </w:p>
    <w:p w:rsidR="00D35E0A" w:rsidRDefault="00D35E0A">
      <w:pPr>
        <w:pStyle w:val="ConsPlusTitle"/>
        <w:jc w:val="center"/>
      </w:pPr>
      <w:r>
        <w:t>В РОССИЙСКОЙ ФЕДЕРАЦИИ</w:t>
      </w:r>
    </w:p>
    <w:p w:rsidR="00D35E0A" w:rsidRDefault="00D35E0A">
      <w:pPr>
        <w:pStyle w:val="ConsPlusNormal"/>
        <w:jc w:val="both"/>
      </w:pPr>
    </w:p>
    <w:p w:rsidR="00D35E0A" w:rsidRDefault="00D35E0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1. Реализовать с 1 мая 2022 г. по 31 декабря 2023 г. пилотный проект по участию банков Республики Беларусь в закупах товаров, работ, услуг для обеспечения государственных и муниципальных нужд в Российской Федерации (далее соответственно - закупки, пилотный проект).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2. Участниками пилотного проекта являются:</w:t>
      </w:r>
    </w:p>
    <w:p w:rsidR="00D35E0A" w:rsidRDefault="00D35E0A">
      <w:pPr>
        <w:pStyle w:val="ConsPlusNormal"/>
        <w:spacing w:before="200"/>
        <w:ind w:firstLine="540"/>
        <w:jc w:val="both"/>
      </w:pPr>
      <w:bookmarkStart w:id="0" w:name="P15"/>
      <w:bookmarkEnd w:id="0"/>
      <w:proofErr w:type="gramStart"/>
      <w:r>
        <w:t>Министерство финансов Российской Федерации, Министерство цифрового развития, связи и массовых коммуникаций Российской Федерации, Федеральная налоговая служба, Федеральное казначейство и Пенсионный фонд Российской Федерации;</w:t>
      </w:r>
      <w:proofErr w:type="gramEnd"/>
    </w:p>
    <w:p w:rsidR="00D35E0A" w:rsidRDefault="00D35E0A">
      <w:pPr>
        <w:pStyle w:val="ConsPlusNormal"/>
        <w:spacing w:before="200"/>
        <w:ind w:firstLine="540"/>
        <w:jc w:val="both"/>
      </w:pPr>
      <w:r>
        <w:t>открытое акционерное общество "Сберегательный банк "Беларусбанк", открытое акционерное общество "Белвнешэкономбанк", открытое акционерное общество "Белорусский банк развития и реконструкции "Белинвестбанк", закрытое акционерное общество Банк ВТБ (Беларусь) и закрытое акционерное общество "МТБанк" (далее - белорусские банки) - на добровольной основе.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3. Установить следующие этапы реализации пилотного проекта: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а) подготовительный этап (май - июнь 2022 г.), включающий в том числе: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выдачу в установленном порядке страховых номеров индивидуальных лицевых счетов уполномоченным представителям белорусских банков;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присвоение в установленном порядке идентификационных номеров налогоплательщика уполномоченным представителям белорусских банков;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выдачу в установленном порядке квалифицированных сертификатов ключа проверки электронных подписей уполномоченным представителям белорусских банков;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обеспечение возможности регистрации белорусских банков и их уполномоченных представителей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аутентификации);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 xml:space="preserve">включение белорусских банков в перечень банков, предусмотренный </w:t>
      </w:r>
      <w:hyperlink r:id="rId6">
        <w:r>
          <w:rPr>
            <w:color w:val="0000FF"/>
          </w:rPr>
          <w:t>частью 1.2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перечень банков);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присвоение белорусским банкам идентификационных кодов гаранта и передачу указанных кодов в Федеральное казначейство;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обеспечение возможности регистрации белорусских банков и их уполномоченных представителей в единой информационной системе в сфере закупок;</w:t>
      </w:r>
    </w:p>
    <w:p w:rsidR="00D35E0A" w:rsidRDefault="00D35E0A">
      <w:pPr>
        <w:pStyle w:val="ConsPlusNormal"/>
        <w:spacing w:before="200"/>
        <w:ind w:firstLine="540"/>
        <w:jc w:val="both"/>
      </w:pPr>
      <w:bookmarkStart w:id="1" w:name="P26"/>
      <w:bookmarkEnd w:id="1"/>
      <w:r>
        <w:t>б) этап реализации участия белорусских банков в закупках (июль 2022 г. - декабрь 2023 г.), включающий в том числе: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lastRenderedPageBreak/>
        <w:t xml:space="preserve">осуществление выдачи белорусскими банками независимых гарантий в соответствии с требованиями, предусмотренными </w:t>
      </w:r>
      <w:hyperlink r:id="rId7">
        <w:r>
          <w:rPr>
            <w:color w:val="0000FF"/>
          </w:rPr>
          <w:t>статьей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и обеспечение включения таких независимых гарантий в реестр независимых гарантий;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 xml:space="preserve">мониторинг соответствия белорусских банков, включенных в перечень банков, требованиям, установленным </w:t>
      </w:r>
      <w:hyperlink w:anchor="P30">
        <w:r>
          <w:rPr>
            <w:color w:val="0000FF"/>
          </w:rPr>
          <w:t>абзацем вторым пункта 4</w:t>
        </w:r>
      </w:hyperlink>
      <w:r>
        <w:t xml:space="preserve"> настоящего постановления.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4. Министерству финансов Российской Федерации обеспечить:</w:t>
      </w:r>
    </w:p>
    <w:p w:rsidR="00D35E0A" w:rsidRDefault="00D35E0A">
      <w:pPr>
        <w:pStyle w:val="ConsPlusNormal"/>
        <w:spacing w:before="200"/>
        <w:ind w:firstLine="540"/>
        <w:jc w:val="both"/>
      </w:pPr>
      <w:bookmarkStart w:id="2" w:name="P30"/>
      <w:bookmarkEnd w:id="2"/>
      <w:proofErr w:type="gramStart"/>
      <w:r>
        <w:t xml:space="preserve">включение белорусских банков, соответствующих требованию об отсутствии примененных к ним Национальным банком Республики Беларусь мер по предупреждению экономической несостоятельности (банкротства) и улучшению финансового состояния (финансовому оздоровлению) в течение 6 последних месяцев, а также требованиям, установленным </w:t>
      </w:r>
      <w:hyperlink r:id="rId8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20 декабря 2021 г. N 2369 "О требованиях к банкам и фондам содействия кредитованию (гарантийным фондам, фондам поручительств</w:t>
      </w:r>
      <w:proofErr w:type="gramEnd"/>
      <w:r>
        <w:t>) для целей осуществления закупок товаров (работ, услуг) для обеспечения государственных и муниципальных нужд, об изменении и признании утратившими силу некоторых актов и отдельных положений некоторых актов Правительства Российской Федерации", в перечень банков на основании информации, представляемой Национальным банком Республики Беларусь;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присвоение белорусским банкам идентификационных кодов гарантов в целях ведения реестра независимых гарантий и их передачу в Федеральное казначейство;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представление в адрес Министерства цифрового развития, связи и массовых коммуникаций Российской Федерации и Федерального казначейства информации, необходимой для регистрации белорусских банков и их уполномоченных представителей в единой системе идентификац</w:t>
      </w:r>
      <w:proofErr w:type="gramStart"/>
      <w:r>
        <w:t>ии и ау</w:t>
      </w:r>
      <w:proofErr w:type="gramEnd"/>
      <w:r>
        <w:t>тентификации (на основании информации, представляемой Национальным банком Республики Беларусь), а также актуализацию указанной информации в рамках реализации пилотного проекта;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 xml:space="preserve">при реализации пилотного проекта на этапе, предусмотренном </w:t>
      </w:r>
      <w:hyperlink w:anchor="P26">
        <w:r>
          <w:rPr>
            <w:color w:val="0000FF"/>
          </w:rPr>
          <w:t>подпунктом "б" пункта 3</w:t>
        </w:r>
      </w:hyperlink>
      <w:r>
        <w:t xml:space="preserve"> настоящего постановления, мониторинг соответствия белорусских банков требованиям, установленным </w:t>
      </w:r>
      <w:hyperlink w:anchor="P30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5. Пенсионному фонду Российской Федерации обеспечить в установленном порядке выдачу страховых номеров индивидуальных лицевых счетов уполномоченным представителям белорусских банков.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6. Федеральной налоговой службе обеспечить в установленном порядке: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присвоение идентификационных номеров налогоплательщика уполномоченным представителям белорусских банков;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выдачу квалифицированных сертификатов ключа проверки электронных подписей белорусским банкам.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7. Министерству цифрового развития, связи и массовых коммуникаций Российской Федерации обеспечить регистрацию белорусских банков и их уполномоченных представителей в единой системе идентификац</w:t>
      </w:r>
      <w:proofErr w:type="gramStart"/>
      <w:r>
        <w:t>ии и ау</w:t>
      </w:r>
      <w:proofErr w:type="gramEnd"/>
      <w:r>
        <w:t>тентификации.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8. Федеральному казначейству обеспечить регистрацию белорусских банков и их уполномоченных представителей в единой информационной системе в сфере закупок.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 xml:space="preserve">9. Участникам пилотного проекта при его реализации обеспечить соблюдение требований, установленных </w:t>
      </w:r>
      <w:hyperlink r:id="rId9">
        <w:r>
          <w:rPr>
            <w:color w:val="0000FF"/>
          </w:rPr>
          <w:t>статьей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 xml:space="preserve">При этом при формировании информации о гаранте </w:t>
      </w:r>
      <w:proofErr w:type="gramStart"/>
      <w:r>
        <w:t>информация</w:t>
      </w:r>
      <w:proofErr w:type="gramEnd"/>
      <w:r>
        <w:t xml:space="preserve"> о коде организационно-правовой формы в соответствии с Общероссийским </w:t>
      </w:r>
      <w:hyperlink r:id="rId10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форм, о субъекте Российской Федерации в соответствии с федеративным устройством Российской Федерации, о наименовании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 и наименовании населенного пункта, кода территории населенного пункта в соответствии с Общероссийским </w:t>
      </w:r>
      <w:hyperlink r:id="rId1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не указывается.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lastRenderedPageBreak/>
        <w:t xml:space="preserve">10. Федеральным органам исполнительной власти, указанным в </w:t>
      </w:r>
      <w:hyperlink w:anchor="P15">
        <w:r>
          <w:rPr>
            <w:color w:val="0000FF"/>
          </w:rPr>
          <w:t>абзаце втором пункта 2</w:t>
        </w:r>
      </w:hyperlink>
      <w:r>
        <w:t xml:space="preserve"> настоящего постановления, обеспечить проведение пилотного проекта в пределах установленной предельной численности работников их центральных аппаратов и территориальных органов, а также бюджетных ассигнований, предусмотренных этим федеральным органам исполнительной власти в федеральном бюджете на руководство и управление в сфере установленных функций.</w:t>
      </w:r>
    </w:p>
    <w:p w:rsidR="00D35E0A" w:rsidRDefault="00D35E0A">
      <w:pPr>
        <w:pStyle w:val="ConsPlusNormal"/>
        <w:spacing w:before="200"/>
        <w:ind w:firstLine="540"/>
        <w:jc w:val="both"/>
      </w:pPr>
      <w:r>
        <w:t>11. Настоящее постановление вступает в силу со дня его официального опубликования и распространяется на правоотношения, возникшие с 1 мая 2022 г.</w:t>
      </w:r>
    </w:p>
    <w:p w:rsidR="00D35E0A" w:rsidRDefault="00D35E0A">
      <w:pPr>
        <w:pStyle w:val="ConsPlusNormal"/>
        <w:ind w:firstLine="540"/>
        <w:jc w:val="both"/>
      </w:pPr>
    </w:p>
    <w:p w:rsidR="00D35E0A" w:rsidRDefault="00D35E0A">
      <w:pPr>
        <w:pStyle w:val="ConsPlusNormal"/>
        <w:jc w:val="right"/>
      </w:pPr>
      <w:r>
        <w:t>Председатель Правительства</w:t>
      </w:r>
    </w:p>
    <w:p w:rsidR="00D35E0A" w:rsidRDefault="00D35E0A">
      <w:pPr>
        <w:pStyle w:val="ConsPlusNormal"/>
        <w:jc w:val="right"/>
      </w:pPr>
      <w:r>
        <w:t>Российской Федерации</w:t>
      </w:r>
    </w:p>
    <w:p w:rsidR="00D35E0A" w:rsidRDefault="00D35E0A">
      <w:pPr>
        <w:pStyle w:val="ConsPlusNormal"/>
        <w:jc w:val="right"/>
      </w:pPr>
      <w:r>
        <w:t>М.МИШУСТИН</w:t>
      </w:r>
    </w:p>
    <w:p w:rsidR="00D35E0A" w:rsidRDefault="00D35E0A">
      <w:pPr>
        <w:pStyle w:val="ConsPlusNormal"/>
        <w:jc w:val="both"/>
      </w:pPr>
    </w:p>
    <w:p w:rsidR="00D35E0A" w:rsidRDefault="00D35E0A">
      <w:pPr>
        <w:pStyle w:val="ConsPlusNormal"/>
        <w:jc w:val="both"/>
      </w:pPr>
    </w:p>
    <w:p w:rsidR="00D35E0A" w:rsidRDefault="00D35E0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CC0" w:rsidRDefault="00614CC0">
      <w:bookmarkStart w:id="3" w:name="_GoBack"/>
      <w:bookmarkEnd w:id="3"/>
    </w:p>
    <w:sectPr w:rsidR="00614CC0" w:rsidSect="00C7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0A"/>
    <w:rsid w:val="00614CC0"/>
    <w:rsid w:val="00D3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E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35E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35E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E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35E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35E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8EAFF0FDB44F6A7B7E7C8E09837E7DF5B4BB01769F01CF321318FFA1C40B06883F99E788D8DD8BBE3Ft00D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5C0AC37927C027FEE8EAFF0FDB44F6A787D798F08837E7DF5B4BB01769F01CF32131BF0F1954407D479CDF48ADEDD89B9230DBD33t905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5C0AC37927C027FEE8EAFF0FDB44F6A787D798F08837E7DF5B4BB01769F01CF32131AF7F59E1B02C16895FB89C1C38EA03F0FBFt303H" TargetMode="External"/><Relationship Id="rId11" Type="http://schemas.openxmlformats.org/officeDocument/2006/relationships/hyperlink" Target="consultantplus://offline/ref=2A75C0AC37927C027FEE8EAFF0FDB44F6F7E74758C0D837E7DF5B4BB01769F01DD324B14F6F48B4F549B3F98FBt80A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2A75C0AC37927C027FEE8EAFF0FDB44F6A7A7D788F0E837E7DF5B4BB01769F01DD324B14F6F48B4F549B3F98FBt80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75C0AC37927C027FEE8EAFF0FDB44F6A787D798F08837E7DF5B4BB01769F01CF32131BF0F1954407D479CDF48ADEDD89B9230DBD33t90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2022-07-21T07:52:00Z</dcterms:created>
  <dcterms:modified xsi:type="dcterms:W3CDTF">2022-07-21T07:52:00Z</dcterms:modified>
</cp:coreProperties>
</file>